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35A2" w:rsidR="002C2E29" w:rsidP="00E635A2" w:rsidRDefault="004033D8" w14:paraId="7F6961A1" w14:textId="77777777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hint="cs" w:cs="David"/>
          <w:sz w:val="20"/>
          <w:szCs w:val="20"/>
          <w:rtl/>
        </w:rPr>
        <w:t xml:space="preserve">מספר פנימי: </w:t>
      </w:r>
      <w:bookmarkStart w:name="LGS_Internal_ID" w:id="0"/>
      <w:r>
        <w:rPr>
          <w:rFonts w:hint="cs" w:cs="David"/>
          <w:sz w:val="20"/>
          <w:szCs w:val="20"/>
          <w:rtl/>
        </w:rPr>
        <w:t>2190344</w:t>
      </w:r>
      <w:bookmarkEnd w:id="0"/>
    </w:p>
    <w:p w:rsidRPr="00DB7060" w:rsidR="00E13C27" w:rsidP="00A443CF" w:rsidRDefault="00E13C27" w14:paraId="7F6961A2" w14:textId="53D639A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name="LGS_Knesset_Num" w:id="1"/>
      <w:r>
        <w:rPr>
          <w:rFonts w:hint="cs"/>
          <w:sz w:val="28"/>
          <w:szCs w:val="28"/>
          <w:rtl/>
        </w:rPr>
        <w:t>העשרים וארבע</w:t>
      </w:r>
      <w:bookmarkEnd w:id="1"/>
    </w:p>
    <w:p w:rsidRPr="00F67051" w:rsidR="00E13C27" w:rsidP="00E13C27" w:rsidRDefault="00E13C27" w14:paraId="7F6961A3" w14:textId="77777777">
      <w:pPr>
        <w:rPr>
          <w:rFonts w:cs="David"/>
          <w:b/>
          <w:bCs/>
          <w:sz w:val="26"/>
          <w:szCs w:val="26"/>
          <w:rtl/>
        </w:rPr>
      </w:pPr>
    </w:p>
    <w:p w:rsidR="00E13C27" w:rsidP="00930EFE" w:rsidRDefault="008F6665" w14:paraId="7F6961A6" w14:textId="77777777">
      <w:pPr>
        <w:pStyle w:val="David"/>
        <w:spacing w:line="360" w:lineRule="auto"/>
        <w:ind w:left="3544"/>
        <w:rPr>
          <w:b/>
          <w:bCs/>
          <w:rtl/>
        </w:rPr>
      </w:pPr>
      <w:bookmarkStart w:name="LGS_Initiators_List" w:id="2"/>
      <w:r>
        <w:rPr>
          <w:b/>
          <w:bCs/>
          <w:rtl/>
        </w:rPr>
        <w:t>יוזמים:      חברי הכנסת</w:t>
      </w:r>
      <w:bookmarkEnd w:id="2"/>
      <w:r w:rsidRPr="00F67051" w:rsidR="00B35784">
        <w:rPr>
          <w:b/>
          <w:bCs/>
        </w:rPr>
        <w:tab/>
      </w:r>
      <w:bookmarkStart w:name="LGS_PM_Names" w:id="3"/>
      <w:r>
        <w:rPr>
          <w:rFonts w:hint="cs"/>
          <w:b/>
          <w:bCs/>
          <w:rtl/>
        </w:rPr>
        <w:t>אורי מקלב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יצחק פינדרוס</w:t>
      </w:r>
      <w:bookmarkEnd w:id="3"/>
    </w:p>
    <w:p w:rsidRPr="00CF1AA2" w:rsidR="00E13C27" w:rsidP="0036422C" w:rsidRDefault="007D585A" w14:paraId="7F6961AA" w14:textId="39F9D96B">
      <w:pPr>
        <w:pStyle w:val="David"/>
        <w:spacing w:before="0" w:line="360" w:lineRule="auto"/>
        <w:ind w:left="3544"/>
        <w:rPr>
          <w:b/>
          <w:bCs/>
          <w:sz w:val="16"/>
          <w:szCs w:val="16"/>
          <w:rtl/>
        </w:rPr>
      </w:pPr>
      <w:bookmarkStart w:name="LGS_Join_List" w:id="4"/>
      <w:r>
        <w:rPr>
          <w:rtl/>
        </w:rPr>
        <w:t xml:space="preserve"> </w:t>
      </w:r>
      <w:bookmarkEnd w:id="4"/>
      <w:r w:rsidRPr="00CF1AA2" w:rsidR="002200A1">
        <w:rPr>
          <w:rFonts w:hint="cs"/>
          <w:rtl/>
        </w:rPr>
        <w:tab/>
      </w:r>
      <w:bookmarkStart w:name="LGS_PM_NamesJoin" w:id="5"/>
      <w:r>
        <w:rPr>
          <w:rFonts w:hint="cs"/>
          <w:rtl/>
        </w:rPr>
        <w:t xml:space="preserve"> </w:t>
      </w:r>
      <w:bookmarkEnd w:id="5"/>
    </w:p>
    <w:p w:rsidRPr="00904591" w:rsidR="00904591" w:rsidP="0036422C" w:rsidRDefault="00266D86" w14:paraId="34DB4103" w14:textId="77777777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Pr="00E06736" w:rsidR="00E06736"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="00904591">
        <w:t xml:space="preserve">           </w:t>
      </w:r>
    </w:p>
    <w:p w:rsidRPr="00E06736" w:rsidR="00E13C27" w:rsidP="00904591" w:rsidRDefault="00904591" w14:paraId="7F6961AB" w14:textId="256138AA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name="Private_Number" w:id="6"/>
      <w:r xmlns:w="http://schemas.openxmlformats.org/wordprocessingml/2006/main">
        <w:rPr xmlns:w="http://schemas.openxmlformats.org/wordprocessingml/2006/main">
          <w:rFonts w:hint="cs"/>
          <w:rtl/>
        </w:rPr>
        <w:t xml:space="preserve">פ/3472/24</w:t>
      </w:r>
      <w:bookmarkEnd w:id="6"/>
    </w:p>
    <w:p w:rsidR="00E13C27" w:rsidP="00E13C27" w:rsidRDefault="00E13C27" w14:paraId="7F6961AC" w14:textId="7777777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:rsidRPr="00F67051" w:rsidR="00E13C27" w:rsidP="0021633A" w:rsidRDefault="00A443CF" w14:paraId="7F6961AD" w14:textId="77777777">
      <w:pPr>
        <w:pStyle w:val="HeadHatzaotHok"/>
        <w:rPr>
          <w:rtl/>
        </w:rPr>
      </w:pPr>
      <w:bookmarkStart w:name="LGS_Subject" w:id="7"/>
      <w:r>
        <w:rPr>
          <w:rFonts w:hint="cs"/>
          <w:rtl/>
        </w:rPr>
        <w:t>הצעת חוק פיקוח על בתי ספר (תיקון – הרחבת תחולה), התשפ"ב–2022</w:t>
      </w:r>
      <w:bookmarkEnd w:id="7"/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3"/>
      </w:tblGrid>
      <w:tr w:rsidR="00C01AF3" w:rsidTr="000F43B1" w14:paraId="5D65936C" w14:textId="77777777">
        <w:trPr>
          <w:cantSplit/>
        </w:trPr>
        <w:tc>
          <w:tcPr>
            <w:tcW w:w="1871" w:type="dxa"/>
          </w:tcPr>
          <w:p w:rsidR="00C01AF3" w:rsidP="000F43B1" w:rsidRDefault="00C01AF3" w14:paraId="59803ABF" w14:textId="77777777">
            <w:pPr>
              <w:pStyle w:val="TableSideHeading"/>
            </w:pPr>
            <w:r>
              <w:rPr>
                <w:sz w:val="26"/>
                <w:rtl/>
              </w:rPr>
              <w:t>תיקון סעיף 2</w:t>
            </w:r>
          </w:p>
        </w:tc>
        <w:tc>
          <w:tcPr>
            <w:tcW w:w="624" w:type="dxa"/>
          </w:tcPr>
          <w:p w:rsidR="00C01AF3" w:rsidP="000F43B1" w:rsidRDefault="00C01AF3" w14:paraId="275A9E69" w14:textId="77777777">
            <w:pPr>
              <w:pStyle w:val="TableText"/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3" w:type="dxa"/>
          </w:tcPr>
          <w:p w:rsidR="00C01AF3" w:rsidP="000F43B1" w:rsidRDefault="00C01AF3" w14:paraId="5A7BE0A2" w14:textId="77777777">
            <w:pPr>
              <w:pStyle w:val="TableBlock"/>
            </w:pPr>
            <w:r>
              <w:rPr>
                <w:sz w:val="26"/>
                <w:rtl/>
              </w:rPr>
              <w:t>בחוק פיקוח על בתי</w:t>
            </w:r>
            <w:r>
              <w:rPr>
                <w:rFonts w:hint="cs"/>
                <w:sz w:val="26"/>
                <w:rtl/>
              </w:rPr>
              <w:t xml:space="preserve"> </w:t>
            </w:r>
            <w:r>
              <w:rPr>
                <w:sz w:val="26"/>
                <w:rtl/>
              </w:rPr>
              <w:t>ספר, התשכ"ט</w:t>
            </w:r>
            <w:r>
              <w:rPr>
                <w:rFonts w:hint="cs"/>
                <w:sz w:val="26"/>
                <w:rtl/>
              </w:rPr>
              <w:t>–</w:t>
            </w:r>
            <w:r>
              <w:rPr>
                <w:sz w:val="26"/>
                <w:rtl/>
              </w:rPr>
              <w:t>1969</w:t>
            </w:r>
            <w:r w:rsidRPr="00A57FDD">
              <w:rPr>
                <w:rStyle w:val="a6"/>
                <w:rFonts w:ascii="David" w:hAnsi="David"/>
                <w:sz w:val="26"/>
                <w:rtl/>
              </w:rPr>
              <w:footnoteReference w:id="2"/>
            </w:r>
            <w:r>
              <w:rPr>
                <w:sz w:val="26"/>
                <w:rtl/>
              </w:rPr>
              <w:t>, בסעיף 2</w:t>
            </w:r>
            <w:r>
              <w:rPr>
                <w:rFonts w:hint="cs"/>
                <w:sz w:val="26"/>
                <w:rtl/>
              </w:rPr>
              <w:t xml:space="preserve">, אחרי סעיף קטן (ב) </w:t>
            </w:r>
            <w:r>
              <w:rPr>
                <w:sz w:val="26"/>
                <w:rtl/>
              </w:rPr>
              <w:t>יבוא:</w:t>
            </w:r>
          </w:p>
        </w:tc>
      </w:tr>
      <w:tr w:rsidR="00C01AF3" w:rsidTr="000F43B1" w14:paraId="36ABE874" w14:textId="77777777">
        <w:trPr>
          <w:cantSplit/>
        </w:trPr>
        <w:tc>
          <w:tcPr>
            <w:tcW w:w="1871" w:type="dxa"/>
          </w:tcPr>
          <w:p w:rsidR="00C01AF3" w:rsidP="000F43B1" w:rsidRDefault="00C01AF3" w14:paraId="1CD577A5" w14:textId="77777777">
            <w:pPr>
              <w:pStyle w:val="TableSideHeading"/>
            </w:pPr>
          </w:p>
        </w:tc>
        <w:tc>
          <w:tcPr>
            <w:tcW w:w="624" w:type="dxa"/>
          </w:tcPr>
          <w:p w:rsidR="00C01AF3" w:rsidP="000F43B1" w:rsidRDefault="00C01AF3" w14:paraId="445BAD83" w14:textId="77777777">
            <w:pPr>
              <w:pStyle w:val="TableText"/>
            </w:pPr>
          </w:p>
        </w:tc>
        <w:tc>
          <w:tcPr>
            <w:tcW w:w="7143" w:type="dxa"/>
          </w:tcPr>
          <w:p w:rsidR="00C01AF3" w:rsidP="000F43B1" w:rsidRDefault="00C01AF3" w14:paraId="0C1C59C1" w14:textId="77777777">
            <w:pPr>
              <w:pStyle w:val="TableBlock"/>
            </w:pPr>
            <w:r>
              <w:rPr>
                <w:rtl/>
              </w:rPr>
              <w:t>"(ג)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t>על אף האמור בסעיף קטן (א)(3), סעיפים 6 ו-9(4) יחולו גם על בית ספר שבו עובדי החינוך הם עובדי המדינה; שר החינוך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</w:t>
            </w:r>
            <w:r>
              <w:rPr>
                <w:rtl/>
              </w:rPr>
              <w:t>התייעצות עם ועדת החינוך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התרבות</w:t>
            </w:r>
            <w:r>
              <w:rPr>
                <w:rFonts w:hint="cs"/>
                <w:rtl/>
              </w:rPr>
              <w:t xml:space="preserve"> והספורט</w:t>
            </w:r>
            <w:r>
              <w:rPr>
                <w:rtl/>
              </w:rPr>
              <w:t xml:space="preserve"> של הכנסת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יקבע </w:t>
            </w:r>
            <w:r>
              <w:rPr>
                <w:rFonts w:hint="cs"/>
                <w:rtl/>
              </w:rPr>
              <w:t>הוראות בדבר אופן החלתם של</w:t>
            </w:r>
            <w:r>
              <w:rPr>
                <w:rtl/>
              </w:rPr>
              <w:t xml:space="preserve"> הסעיפים האמורים.</w:t>
            </w:r>
            <w:r>
              <w:rPr>
                <w:rFonts w:hint="cs"/>
                <w:rtl/>
              </w:rPr>
              <w:t>"</w:t>
            </w:r>
          </w:p>
        </w:tc>
      </w:tr>
    </w:tbl>
    <w:p w:rsidRPr="00A57FDD" w:rsidR="00C01AF3" w:rsidP="00C01AF3" w:rsidRDefault="00C01AF3" w14:paraId="7C016B7A" w14:textId="77777777">
      <w:pPr>
        <w:pStyle w:val="HeadDivreiHesber"/>
        <w:rPr>
          <w:rtl/>
        </w:rPr>
      </w:pPr>
      <w:r w:rsidRPr="00A57FDD">
        <w:rPr>
          <w:rFonts w:hint="cs"/>
          <w:rtl/>
        </w:rPr>
        <w:t>דברי הסבר</w:t>
      </w:r>
    </w:p>
    <w:p w:rsidRPr="00A57FDD" w:rsidR="00C01AF3" w:rsidP="00C01AF3" w:rsidRDefault="00C01AF3" w14:paraId="5D851025" w14:textId="77777777">
      <w:pPr>
        <w:pStyle w:val="Hesber"/>
        <w:rPr>
          <w:rtl/>
        </w:rPr>
      </w:pPr>
      <w:r w:rsidRPr="00A57FDD">
        <w:rPr>
          <w:rtl/>
        </w:rPr>
        <w:t>חוק פיקוח על בתי ספר</w:t>
      </w:r>
      <w:r w:rsidRPr="00A57FDD">
        <w:rPr>
          <w:rFonts w:hint="cs"/>
          <w:rtl/>
        </w:rPr>
        <w:t>, התשכ"ט</w:t>
      </w:r>
      <w:r w:rsidRPr="00A57FDD">
        <w:rPr>
          <w:rFonts w:hint="eastAsia"/>
          <w:rtl/>
        </w:rPr>
        <w:t>–</w:t>
      </w:r>
      <w:r w:rsidRPr="00A57FDD">
        <w:rPr>
          <w:rFonts w:hint="cs"/>
          <w:rtl/>
        </w:rPr>
        <w:t>1969,</w:t>
      </w:r>
      <w:r w:rsidRPr="00A57FDD">
        <w:rPr>
          <w:rtl/>
        </w:rPr>
        <w:t xml:space="preserve"> מפרט את הכללים לקבלת </w:t>
      </w:r>
      <w:r w:rsidRPr="00A57FDD">
        <w:rPr>
          <w:rFonts w:hint="cs"/>
          <w:rtl/>
        </w:rPr>
        <w:t>רישיו</w:t>
      </w:r>
      <w:r w:rsidRPr="00A57FDD">
        <w:rPr>
          <w:rFonts w:hint="eastAsia"/>
          <w:rtl/>
        </w:rPr>
        <w:t>ן</w:t>
      </w:r>
      <w:r w:rsidRPr="00A57FDD">
        <w:rPr>
          <w:rtl/>
        </w:rPr>
        <w:t xml:space="preserve"> ובין היתר קובע כי על בית הספר לעמוד בתנאי בטיחות ותברואה ברמה נאותה בהתאם לתקן</w:t>
      </w:r>
      <w:r w:rsidRPr="00A57FDD">
        <w:rPr>
          <w:rFonts w:hint="cs"/>
          <w:rtl/>
        </w:rPr>
        <w:t>.</w:t>
      </w:r>
      <w:r w:rsidRPr="00A57FDD">
        <w:rPr>
          <w:rtl/>
        </w:rPr>
        <w:t xml:space="preserve"> אולם, בסעיף 2(א)(3) נקבע כי חוק זה והכללים </w:t>
      </w:r>
      <w:r w:rsidRPr="00A57FDD">
        <w:rPr>
          <w:rFonts w:hint="cs"/>
          <w:rtl/>
        </w:rPr>
        <w:t>שבו</w:t>
      </w:r>
      <w:r w:rsidRPr="00A57FDD">
        <w:rPr>
          <w:rtl/>
        </w:rPr>
        <w:t xml:space="preserve"> לא יחולו על ב</w:t>
      </w:r>
      <w:r w:rsidRPr="00A57FDD">
        <w:rPr>
          <w:rFonts w:hint="cs"/>
          <w:rtl/>
        </w:rPr>
        <w:t>ית</w:t>
      </w:r>
      <w:r w:rsidRPr="00A57FDD">
        <w:rPr>
          <w:rtl/>
        </w:rPr>
        <w:t xml:space="preserve"> ספר שעובדי החינוך שבו הם עובדי המדינה.</w:t>
      </w:r>
    </w:p>
    <w:p w:rsidRPr="00A57FDD" w:rsidR="00C01AF3" w:rsidP="00C01AF3" w:rsidRDefault="00C01AF3" w14:paraId="54C939C6" w14:textId="77777777">
      <w:pPr>
        <w:pStyle w:val="Hesber"/>
        <w:rPr>
          <w:rtl/>
        </w:rPr>
      </w:pPr>
      <w:r w:rsidRPr="00A57FDD">
        <w:rPr>
          <w:rFonts w:hint="cs"/>
          <w:rtl/>
        </w:rPr>
        <w:t>אין זה סביר</w:t>
      </w:r>
      <w:r w:rsidRPr="00A57FDD">
        <w:rPr>
          <w:rtl/>
        </w:rPr>
        <w:t xml:space="preserve"> </w:t>
      </w:r>
      <w:r w:rsidRPr="00A57FDD">
        <w:rPr>
          <w:rFonts w:hint="cs"/>
          <w:rtl/>
        </w:rPr>
        <w:t xml:space="preserve">כי </w:t>
      </w:r>
      <w:r w:rsidRPr="00A57FDD">
        <w:rPr>
          <w:rtl/>
        </w:rPr>
        <w:t>בנושאי בטיחות ותברואה תהיה הבחנה בין מוסד רשמי למוסד שאינו רשמי.</w:t>
      </w:r>
      <w:r w:rsidRPr="00A57FDD">
        <w:rPr>
          <w:rFonts w:hint="cs"/>
          <w:rtl/>
        </w:rPr>
        <w:t xml:space="preserve"> </w:t>
      </w:r>
      <w:r w:rsidRPr="00A57FDD">
        <w:rPr>
          <w:rtl/>
        </w:rPr>
        <w:t xml:space="preserve">ברור </w:t>
      </w:r>
      <w:r w:rsidRPr="00A57FDD">
        <w:rPr>
          <w:rFonts w:hint="cs"/>
          <w:rtl/>
        </w:rPr>
        <w:t xml:space="preserve">כי </w:t>
      </w:r>
      <w:r w:rsidRPr="00A57FDD">
        <w:rPr>
          <w:rtl/>
        </w:rPr>
        <w:t>בנושא</w:t>
      </w:r>
      <w:r w:rsidRPr="00A57FDD">
        <w:rPr>
          <w:rFonts w:hint="cs"/>
          <w:rtl/>
        </w:rPr>
        <w:t>ים אלה</w:t>
      </w:r>
      <w:r w:rsidRPr="00A57FDD">
        <w:rPr>
          <w:rtl/>
        </w:rPr>
        <w:t xml:space="preserve"> אין להבחין בין בתי ספר רשמיים לבתי הספר המוכרים שאינם רשמיים וכי יש להחיל את אותם תנאים על הפעלתו של בית ספר, ללא הבדל.</w:t>
      </w:r>
    </w:p>
    <w:p w:rsidRPr="00A57FDD" w:rsidR="00C01AF3" w:rsidP="00103DD4" w:rsidRDefault="00C01AF3" w14:paraId="46BA5512" w14:textId="64CF2F66">
      <w:pPr>
        <w:pStyle w:val="Hesber"/>
        <w:rPr>
          <w:rtl/>
        </w:rPr>
      </w:pPr>
      <w:r w:rsidRPr="00A57FDD">
        <w:rPr>
          <w:rtl/>
        </w:rPr>
        <w:t>נראה כי אי החלת התנאים על בתי ספר</w:t>
      </w:r>
      <w:r w:rsidRPr="00A57FDD">
        <w:rPr>
          <w:rFonts w:hint="cs"/>
          <w:rtl/>
        </w:rPr>
        <w:t xml:space="preserve"> שונים</w:t>
      </w:r>
      <w:r w:rsidRPr="00A57FDD">
        <w:rPr>
          <w:rtl/>
        </w:rPr>
        <w:t xml:space="preserve"> אינה נובעת מהסדר שלילי בחקיקה אלא מלקונה, שהמציאות היומיומית מחייבת לתת עליה את הדעת ולפרש את דברי החקיקה </w:t>
      </w:r>
      <w:r w:rsidRPr="00A57FDD">
        <w:rPr>
          <w:rFonts w:hint="cs"/>
          <w:rtl/>
        </w:rPr>
        <w:t>לפ</w:t>
      </w:r>
      <w:r w:rsidRPr="00A57FDD">
        <w:rPr>
          <w:rtl/>
        </w:rPr>
        <w:t>י תכליתה</w:t>
      </w:r>
      <w:r w:rsidRPr="00A57FDD">
        <w:rPr>
          <w:rFonts w:hint="cs"/>
          <w:rtl/>
        </w:rPr>
        <w:t>,</w:t>
      </w:r>
      <w:r w:rsidRPr="00A57FDD">
        <w:rPr>
          <w:rtl/>
        </w:rPr>
        <w:t xml:space="preserve"> קרי: יישום נורמות הבטיחות והתברואה החלות על בתי ספר שאינם רשמיים גם על בתי ספר רשמיים.</w:t>
      </w:r>
    </w:p>
    <w:p w:rsidRPr="00A57FDD" w:rsidR="00C01AF3" w:rsidP="00C01AF3" w:rsidRDefault="00C01AF3" w14:paraId="755E5BD8" w14:textId="77777777">
      <w:pPr>
        <w:pStyle w:val="Hesber"/>
        <w:rPr>
          <w:rtl/>
        </w:rPr>
      </w:pPr>
      <w:r w:rsidRPr="00A57FDD">
        <w:rPr>
          <w:rtl/>
        </w:rPr>
        <w:t>לפיכך</w:t>
      </w:r>
      <w:r w:rsidRPr="00A57FDD">
        <w:rPr>
          <w:rFonts w:hint="cs"/>
          <w:rtl/>
        </w:rPr>
        <w:t>,</w:t>
      </w:r>
      <w:r w:rsidRPr="00A57FDD">
        <w:rPr>
          <w:rtl/>
        </w:rPr>
        <w:t xml:space="preserve"> מוצע לחייב באופן שוו</w:t>
      </w:r>
      <w:r w:rsidRPr="00A57FDD">
        <w:rPr>
          <w:rFonts w:hint="cs"/>
          <w:rtl/>
        </w:rPr>
        <w:t>יוני</w:t>
      </w:r>
      <w:r w:rsidRPr="00A57FDD">
        <w:rPr>
          <w:rtl/>
        </w:rPr>
        <w:t xml:space="preserve"> את כלל בתי הספר בתנאים ובנורמות האמור</w:t>
      </w:r>
      <w:r w:rsidRPr="00A57FDD">
        <w:rPr>
          <w:rFonts w:hint="cs"/>
          <w:rtl/>
        </w:rPr>
        <w:t>ים</w:t>
      </w:r>
      <w:r w:rsidRPr="00A57FDD">
        <w:rPr>
          <w:rtl/>
        </w:rPr>
        <w:t xml:space="preserve"> (בשינויים </w:t>
      </w:r>
      <w:r w:rsidRPr="00A57FDD">
        <w:rPr>
          <w:rFonts w:hint="cs"/>
          <w:rtl/>
        </w:rPr>
        <w:t>המחויבים</w:t>
      </w:r>
      <w:r w:rsidRPr="00A57FDD">
        <w:rPr>
          <w:rtl/>
        </w:rPr>
        <w:t>) ובכך ת</w:t>
      </w:r>
      <w:r w:rsidRPr="00A57FDD">
        <w:rPr>
          <w:rFonts w:hint="cs"/>
          <w:rtl/>
        </w:rPr>
        <w:t>י</w:t>
      </w:r>
      <w:r w:rsidRPr="00A57FDD">
        <w:rPr>
          <w:rtl/>
        </w:rPr>
        <w:t xml:space="preserve">מנע הישנותם של מפגעים בטיחותיים ותברואתיים בבתי הספר בעתיד. </w:t>
      </w:r>
    </w:p>
    <w:p w:rsidR="00A56FE4" w:rsidP="00A56FE4" w:rsidRDefault="00C01AF3" w14:paraId="524C9577" w14:textId="17A9B357">
      <w:pPr>
        <w:pStyle w:val="Hesber"/>
        <w:rPr>
          <w:rtl/>
        </w:rPr>
      </w:pPr>
      <w:r w:rsidRPr="00A57FDD">
        <w:rPr>
          <w:rFonts w:hint="cs"/>
          <w:rtl/>
        </w:rPr>
        <w:t>הצעות חוק זהות הונחו על שולחן הכנסת השמונה-עשרה על ידי חברי הכנסת אורי מקלב ומשה גפני (פ/3536/18) ועל ידי חבר הכנסת אורי מקלב (</w:t>
      </w:r>
      <w:r w:rsidRPr="00A57FDD">
        <w:rPr>
          <w:rtl/>
        </w:rPr>
        <w:t>פ/1421/18</w:t>
      </w:r>
      <w:r w:rsidRPr="00A57FDD">
        <w:rPr>
          <w:rFonts w:hint="cs"/>
          <w:rtl/>
        </w:rPr>
        <w:t>), על שולחן הכנסת התשע-עשרה על ידי חבר הכנסת אורי מקלב וקבוצת חברי הכנסת (</w:t>
      </w:r>
      <w:r w:rsidRPr="00A57FDD">
        <w:rPr>
          <w:rtl/>
        </w:rPr>
        <w:t>פ/1004/19</w:t>
      </w:r>
      <w:r w:rsidRPr="00A57FDD">
        <w:rPr>
          <w:rFonts w:hint="cs"/>
          <w:rtl/>
        </w:rPr>
        <w:t>)</w:t>
      </w:r>
      <w:r>
        <w:rPr>
          <w:rFonts w:hint="cs"/>
          <w:rtl/>
        </w:rPr>
        <w:t>,</w:t>
      </w:r>
      <w:r w:rsidR="00A56FE4">
        <w:rPr>
          <w:rFonts w:hint="cs"/>
          <w:rtl/>
        </w:rPr>
        <w:t xml:space="preserve"> </w:t>
      </w:r>
      <w:r w:rsidRPr="00A57FDD">
        <w:rPr>
          <w:rFonts w:hint="cs"/>
          <w:rtl/>
        </w:rPr>
        <w:t xml:space="preserve">על שולחן הכנסת העשרים על ידי חבר הכנסת </w:t>
      </w:r>
      <w:r w:rsidRPr="00A57FDD">
        <w:rPr>
          <w:rFonts w:hint="cs"/>
          <w:rtl/>
        </w:rPr>
        <w:lastRenderedPageBreak/>
        <w:t>אורי מקל</w:t>
      </w:r>
      <w:r w:rsidR="00A56FE4">
        <w:rPr>
          <w:rFonts w:hint="cs"/>
          <w:rtl/>
        </w:rPr>
        <w:t xml:space="preserve">ב וקבוצת חברי הכנסת  (פ/828/20) </w:t>
      </w:r>
      <w:r w:rsidRPr="00A57FDD" w:rsidR="00A56FE4">
        <w:rPr>
          <w:rFonts w:hint="cs"/>
          <w:rtl/>
        </w:rPr>
        <w:t xml:space="preserve">ועל שולחן הכנסת העשרים </w:t>
      </w:r>
      <w:r w:rsidR="00A56FE4">
        <w:rPr>
          <w:rFonts w:hint="cs"/>
          <w:rtl/>
        </w:rPr>
        <w:t xml:space="preserve">ושתים </w:t>
      </w:r>
      <w:r w:rsidRPr="00A57FDD" w:rsidR="00A56FE4">
        <w:rPr>
          <w:rFonts w:hint="cs"/>
          <w:rtl/>
        </w:rPr>
        <w:t xml:space="preserve">על ידי חבר הכנסת </w:t>
      </w:r>
      <w:r w:rsidR="00A56FE4">
        <w:rPr>
          <w:rFonts w:hint="cs"/>
          <w:rtl/>
        </w:rPr>
        <w:t>אורי מקלב</w:t>
      </w:r>
      <w:r w:rsidRPr="00A57FDD" w:rsidR="00A56FE4">
        <w:rPr>
          <w:rFonts w:hint="cs"/>
          <w:rtl/>
        </w:rPr>
        <w:t xml:space="preserve"> וקבוצת חברי הכנסת (פ/</w:t>
      </w:r>
      <w:r w:rsidR="00A56FE4">
        <w:rPr>
          <w:rFonts w:hint="cs"/>
          <w:rtl/>
        </w:rPr>
        <w:t>880</w:t>
      </w:r>
      <w:r w:rsidRPr="00A57FDD" w:rsidR="00A56FE4">
        <w:rPr>
          <w:rFonts w:hint="cs"/>
          <w:rtl/>
        </w:rPr>
        <w:t>/</w:t>
      </w:r>
      <w:r w:rsidR="00A56FE4">
        <w:rPr>
          <w:rFonts w:hint="cs"/>
          <w:rtl/>
        </w:rPr>
        <w:t>22</w:t>
      </w:r>
      <w:r w:rsidRPr="00A57FDD" w:rsidR="00A56FE4">
        <w:rPr>
          <w:rFonts w:hint="cs"/>
          <w:rtl/>
        </w:rPr>
        <w:t>).</w:t>
      </w:r>
    </w:p>
    <w:p w:rsidR="00C01AF3" w:rsidP="00A56FE4" w:rsidRDefault="00C01AF3" w14:paraId="5F36D912" w14:textId="3C1C09EC">
      <w:pPr>
        <w:pStyle w:val="Hesber"/>
        <w:rPr>
          <w:rtl/>
        </w:rPr>
      </w:pPr>
      <w:r w:rsidRPr="00A57FDD">
        <w:rPr>
          <w:rFonts w:hint="cs"/>
          <w:rtl/>
        </w:rPr>
        <w:t xml:space="preserve">הצעות חוק דומות בעיקרן הונחו על שולחן הכנסת השש-עשרה על ידי חבר הכנסת משולם נהרי (פ/1332; הוסרה מסדר היום ביום </w:t>
      </w:r>
      <w:r w:rsidRPr="00A57FDD">
        <w:rPr>
          <w:rtl/>
        </w:rPr>
        <w:t>ג</w:t>
      </w:r>
      <w:r w:rsidRPr="00A57FDD">
        <w:rPr>
          <w:rFonts w:hint="cs"/>
          <w:rtl/>
        </w:rPr>
        <w:t>'</w:t>
      </w:r>
      <w:r w:rsidRPr="00A57FDD">
        <w:rPr>
          <w:rtl/>
        </w:rPr>
        <w:t xml:space="preserve"> </w:t>
      </w:r>
      <w:r w:rsidRPr="00A57FDD">
        <w:rPr>
          <w:rFonts w:hint="cs"/>
          <w:rtl/>
        </w:rPr>
        <w:t>ב</w:t>
      </w:r>
      <w:r w:rsidRPr="00A57FDD">
        <w:rPr>
          <w:rtl/>
        </w:rPr>
        <w:t>אדר התשס</w:t>
      </w:r>
      <w:r w:rsidRPr="00A57FDD">
        <w:rPr>
          <w:rFonts w:hint="cs"/>
          <w:rtl/>
        </w:rPr>
        <w:t>"</w:t>
      </w:r>
      <w:r w:rsidRPr="00A57FDD">
        <w:rPr>
          <w:rtl/>
        </w:rPr>
        <w:t>ד</w:t>
      </w:r>
      <w:r>
        <w:rPr>
          <w:rFonts w:hint="cs"/>
          <w:rtl/>
        </w:rPr>
        <w:t xml:space="preserve"> (25 בפברואר 2004))</w:t>
      </w:r>
      <w:r w:rsidRPr="00A57FDD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Pr="00A57FDD">
        <w:rPr>
          <w:rFonts w:hint="cs"/>
          <w:rtl/>
        </w:rPr>
        <w:t>על ידי חבר הכנסת מוחמד ברכה וקבוצת חברי הכנסת (פ/3841), על שולחן הכנסת השבע-עשרה על ידי חבר הכנסת מוחמד ברכ</w:t>
      </w:r>
      <w:r>
        <w:rPr>
          <w:rFonts w:hint="cs"/>
          <w:rtl/>
        </w:rPr>
        <w:t>ה וקבוצת חברי הכנסת (פ/182/17) ו</w:t>
      </w:r>
      <w:r w:rsidRPr="00A57FDD">
        <w:rPr>
          <w:rFonts w:hint="cs"/>
          <w:rtl/>
        </w:rPr>
        <w:t>על ידי חבר הכנסת חיים אמסלם וקבוצת חברי הכנסת (פ/2966/17), על שולחן הכנסת השמונה-עשרה על ידי חבר הכנסת מוחמד ברכה וקבוצת חברי הכנסת (פ/439/18) ועל ידי חב</w:t>
      </w:r>
      <w:r w:rsidR="00A56FE4">
        <w:rPr>
          <w:rFonts w:hint="cs"/>
          <w:rtl/>
        </w:rPr>
        <w:t>רת הכנסת ליה שמטוב (פ/194/18) ו</w:t>
      </w:r>
      <w:r w:rsidRPr="00A57FDD">
        <w:rPr>
          <w:rFonts w:hint="cs"/>
          <w:rtl/>
        </w:rPr>
        <w:t>על שולחן הכנסת העשרים על ידי חברת הכנסת עאידה תומא סלימ</w:t>
      </w:r>
      <w:r>
        <w:rPr>
          <w:rFonts w:hint="cs"/>
          <w:rtl/>
        </w:rPr>
        <w:t>אן וקבוצת חברי הכנסת (פ/7</w:t>
      </w:r>
      <w:bookmarkStart w:name="_GoBack" w:id="8"/>
      <w:bookmarkEnd w:id="8"/>
      <w:r>
        <w:rPr>
          <w:rFonts w:hint="cs"/>
          <w:rtl/>
        </w:rPr>
        <w:t>51/20)</w:t>
      </w:r>
      <w:r w:rsidR="00A56FE4">
        <w:rPr>
          <w:rFonts w:hint="cs"/>
          <w:rtl/>
        </w:rPr>
        <w:t>.</w:t>
      </w:r>
    </w:p>
    <w:p w:rsidR="00C01AF3" w:rsidP="00C01AF3" w:rsidRDefault="00C01AF3" w14:paraId="67BB409E" w14:textId="3D48071E">
      <w:pPr>
        <w:pStyle w:val="Hesber"/>
        <w:rPr>
          <w:rtl/>
        </w:rPr>
      </w:pPr>
    </w:p>
    <w:p w:rsidRPr="00C01AF3" w:rsidR="00E13C27" w:rsidP="00C01AF3" w:rsidRDefault="00E13C27" w14:paraId="7F6961CB" w14:textId="77777777">
      <w:pPr>
        <w:pStyle w:val="HeadDivreiHesber"/>
        <w:spacing w:before="0" w:after="0"/>
        <w:rPr>
          <w:b w:val="0"/>
          <w:bCs/>
          <w:rtl/>
        </w:rPr>
      </w:pPr>
    </w:p>
    <w:p>
      <w:pPr>
        <w:jc w:val="left"/>
        <w:spacing w:before="0" w:after="0" w:line="276" w:lineRule="auto"/>
      </w:pPr>
      <w:bookmarkStart w:name="selectedDocDateB" w:id="9"/>
      <w:bookmarkEnd w:id="9"/>
      <w:r/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--------------------------------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הוגשה ליו"ר הכנסת והסגנים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והונחה על שולחן הכנסת ביום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 xml:space="preserve">ד' באדר ב' התשפ"ב</w:t>
          <w:t xml:space="preserve"> (07.03.2022) </w:t>
        </w:r>
      </w:p>
    </w:p>
    <w:sectPr w:rsidRPr="00C01AF3" w:rsidR="00E13C27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7" w14:textId="10F20171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103DD4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15AAD70D" w14:textId="77777777" w:rsidR="00C01AF3" w:rsidRDefault="00C01AF3" w:rsidP="00C01AF3">
      <w:pPr>
        <w:pStyle w:val="a4"/>
      </w:pPr>
      <w:r>
        <w:rPr>
          <w:rStyle w:val="a6"/>
        </w:rPr>
        <w:footnoteRef/>
      </w:r>
      <w:r>
        <w:rPr>
          <w:rtl/>
        </w:rPr>
        <w:t xml:space="preserve"> ס"ח התשכ"ט, עמ' 180.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3DD4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56FE4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01AF3"/>
    <w:rsid w:val="00C23B1A"/>
    <w:rsid w:val="00C310EB"/>
    <w:rsid w:val="00C9176A"/>
    <w:rsid w:val="00CA6554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DE573DD8-241C-4946-8E4E-75D1532A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8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b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link w:val="a4"/>
    <w:semiHidden/>
    <w:rsid w:val="00C01AF3"/>
    <w:rPr>
      <w:rFonts w:ascii="Arial" w:eastAsia="Arial Unicode MS" w:hAnsi="Arial" w:cs="David"/>
      <w:snapToGrid w:val="0"/>
      <w:color w:val="000000"/>
      <w:sz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290d5b49-c690-4c6f-bbb9-1e50dab33ee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5684AA8-B089-41C5-B7C6-9F8BC9CCE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EC577-FE48-4F4D-BCE6-1C96D5FE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ארי אחאי אבידור</cp:lastModifiedBy>
  <cp:revision>7</cp:revision>
  <cp:lastPrinted>2013-07-04T08:25:00Z</cp:lastPrinted>
  <dcterms:created xsi:type="dcterms:W3CDTF">2015-04-20T09:58:00Z</dcterms:created>
  <dcterms:modified xsi:type="dcterms:W3CDTF">2022-03-01T09:36:00Z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2190344</vt:r8>
  </property>
</Properties>
</file>